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82" w:rsidRDefault="00D45782" w:rsidP="00D45782">
      <w:pPr>
        <w:rPr>
          <w:b/>
        </w:rPr>
      </w:pPr>
    </w:p>
    <w:p w:rsidR="00D45782" w:rsidRPr="00BC0977" w:rsidRDefault="00D45782" w:rsidP="00D45782">
      <w:pPr>
        <w:pStyle w:val="a3"/>
        <w:numPr>
          <w:ilvl w:val="0"/>
          <w:numId w:val="1"/>
        </w:numPr>
        <w:ind w:left="644"/>
        <w:jc w:val="both"/>
        <w:rPr>
          <w:b/>
          <w:color w:val="000000"/>
        </w:rPr>
      </w:pPr>
      <w:r w:rsidRPr="00BC0977">
        <w:rPr>
          <w:lang w:val="en-US"/>
        </w:rPr>
        <w:t>Kit</w:t>
      </w:r>
      <w:r>
        <w:t xml:space="preserve"> </w:t>
      </w:r>
      <w:r w:rsidRPr="009F3EF3">
        <w:t>Ταχείας</w:t>
      </w:r>
      <w:r>
        <w:t xml:space="preserve"> </w:t>
      </w:r>
      <w:r w:rsidRPr="009F3EF3">
        <w:t>Ανίχνευσης</w:t>
      </w:r>
      <w:r>
        <w:t xml:space="preserve"> </w:t>
      </w:r>
      <w:r w:rsidRPr="009F3EF3">
        <w:t>Αντιγόνου</w:t>
      </w:r>
      <w:r>
        <w:t xml:space="preserve"> </w:t>
      </w:r>
      <w:r w:rsidRPr="00BC0977">
        <w:rPr>
          <w:lang w:val="en-US"/>
        </w:rPr>
        <w:t>Cryptococcus</w:t>
      </w:r>
      <w:r w:rsidRPr="005C6967">
        <w:t>, 50</w:t>
      </w:r>
      <w:r w:rsidRPr="00BC0977">
        <w:rPr>
          <w:lang w:val="en-US"/>
        </w:rPr>
        <w:t>test</w:t>
      </w:r>
    </w:p>
    <w:p w:rsidR="00D45782" w:rsidRPr="00984890" w:rsidRDefault="00D45782" w:rsidP="00D45782">
      <w:pPr>
        <w:jc w:val="both"/>
        <w:rPr>
          <w:color w:val="000000"/>
        </w:rPr>
      </w:pPr>
      <w:r w:rsidRPr="00984890">
        <w:rPr>
          <w:color w:val="000000"/>
        </w:rPr>
        <w:t xml:space="preserve">Ταχεία </w:t>
      </w:r>
      <w:proofErr w:type="spellStart"/>
      <w:r w:rsidRPr="00984890">
        <w:rPr>
          <w:color w:val="000000"/>
        </w:rPr>
        <w:t>ανοσοχρωματογραφία</w:t>
      </w:r>
      <w:proofErr w:type="spellEnd"/>
      <w:r w:rsidRPr="00984890">
        <w:rPr>
          <w:color w:val="000000"/>
        </w:rPr>
        <w:t xml:space="preserve"> πλευρικής ροής σε τ</w:t>
      </w:r>
      <w:r>
        <w:rPr>
          <w:color w:val="000000"/>
        </w:rPr>
        <w:t xml:space="preserve">αινίες για την ποιοτική και </w:t>
      </w:r>
      <w:proofErr w:type="spellStart"/>
      <w:r>
        <w:rPr>
          <w:color w:val="000000"/>
        </w:rPr>
        <w:t>ημι</w:t>
      </w:r>
      <w:r w:rsidRPr="00984890">
        <w:rPr>
          <w:color w:val="000000"/>
        </w:rPr>
        <w:t>ποσοτική</w:t>
      </w:r>
      <w:proofErr w:type="spellEnd"/>
      <w:r w:rsidRPr="00984890">
        <w:rPr>
          <w:color w:val="000000"/>
        </w:rPr>
        <w:t xml:space="preserve"> ανίχνευση των </w:t>
      </w:r>
      <w:proofErr w:type="spellStart"/>
      <w:r w:rsidRPr="00984890">
        <w:rPr>
          <w:color w:val="000000"/>
        </w:rPr>
        <w:t>καψιδικών</w:t>
      </w:r>
      <w:proofErr w:type="spellEnd"/>
      <w:r>
        <w:rPr>
          <w:color w:val="000000"/>
        </w:rPr>
        <w:t xml:space="preserve"> </w:t>
      </w:r>
      <w:proofErr w:type="spellStart"/>
      <w:r w:rsidRPr="00984890">
        <w:rPr>
          <w:color w:val="000000"/>
        </w:rPr>
        <w:t>πολυσακχαριδικών</w:t>
      </w:r>
      <w:proofErr w:type="spellEnd"/>
      <w:r w:rsidRPr="00984890">
        <w:rPr>
          <w:color w:val="000000"/>
        </w:rPr>
        <w:t xml:space="preserve"> αντιγόνων του </w:t>
      </w:r>
      <w:proofErr w:type="spellStart"/>
      <w:r w:rsidRPr="00984890">
        <w:rPr>
          <w:color w:val="000000"/>
        </w:rPr>
        <w:t>συμπλόκου</w:t>
      </w:r>
      <w:proofErr w:type="spellEnd"/>
      <w:r w:rsidRPr="00984890">
        <w:rPr>
          <w:color w:val="000000"/>
        </w:rPr>
        <w:t xml:space="preserve"> των ειδών </w:t>
      </w:r>
      <w:proofErr w:type="spellStart"/>
      <w:r w:rsidRPr="00984890">
        <w:rPr>
          <w:color w:val="000000"/>
        </w:rPr>
        <w:t>Cryptococcus</w:t>
      </w:r>
      <w:proofErr w:type="spellEnd"/>
      <w:r w:rsidRPr="00984890">
        <w:rPr>
          <w:color w:val="000000"/>
        </w:rPr>
        <w:t xml:space="preserve"> (</w:t>
      </w:r>
      <w:proofErr w:type="spellStart"/>
      <w:r w:rsidRPr="00984890">
        <w:rPr>
          <w:color w:val="000000"/>
        </w:rPr>
        <w:t>Cryptococcusneoformans</w:t>
      </w:r>
      <w:proofErr w:type="spellEnd"/>
      <w:r w:rsidRPr="00984890">
        <w:rPr>
          <w:color w:val="000000"/>
        </w:rPr>
        <w:t xml:space="preserve"> και </w:t>
      </w:r>
      <w:proofErr w:type="spellStart"/>
      <w:r w:rsidRPr="00984890">
        <w:rPr>
          <w:color w:val="000000"/>
        </w:rPr>
        <w:t>Cryptococcusgattii</w:t>
      </w:r>
      <w:proofErr w:type="spellEnd"/>
      <w:r w:rsidRPr="00984890">
        <w:rPr>
          <w:color w:val="000000"/>
        </w:rPr>
        <w:t xml:space="preserve">) σε ορό, πλάσμα, ολικό αίμα (φλεβικό ή δακτύλου) και σε εγκεφαλονωτιαίο υγρό (ΕΝΥ) με χρήση </w:t>
      </w:r>
      <w:proofErr w:type="spellStart"/>
      <w:r w:rsidRPr="00984890">
        <w:rPr>
          <w:color w:val="000000"/>
        </w:rPr>
        <w:t>μονοκλωνικών</w:t>
      </w:r>
      <w:proofErr w:type="spellEnd"/>
      <w:r w:rsidRPr="00984890">
        <w:rPr>
          <w:color w:val="000000"/>
        </w:rPr>
        <w:t xml:space="preserve"> αντισωμάτων υψηλής ευαισθησίας και ειδικότητας. </w:t>
      </w:r>
    </w:p>
    <w:p w:rsidR="00D45782" w:rsidRPr="00984890" w:rsidRDefault="00D45782" w:rsidP="00D45782">
      <w:pPr>
        <w:jc w:val="both"/>
        <w:rPr>
          <w:color w:val="000000"/>
        </w:rPr>
      </w:pPr>
      <w:r w:rsidRPr="00984890">
        <w:rPr>
          <w:color w:val="000000"/>
        </w:rPr>
        <w:t xml:space="preserve">Το όριο </w:t>
      </w:r>
      <w:proofErr w:type="spellStart"/>
      <w:r w:rsidRPr="00984890">
        <w:rPr>
          <w:color w:val="000000"/>
        </w:rPr>
        <w:t>ανιχνευσιμότητας</w:t>
      </w:r>
      <w:proofErr w:type="spellEnd"/>
      <w:r w:rsidRPr="00984890">
        <w:rPr>
          <w:color w:val="000000"/>
        </w:rPr>
        <w:t xml:space="preserve"> να είναι 1,25ng/ml και η υψηλή δοσολογία για το </w:t>
      </w:r>
      <w:proofErr w:type="spellStart"/>
      <w:r w:rsidRPr="00984890">
        <w:rPr>
          <w:color w:val="000000"/>
        </w:rPr>
        <w:t>Hook</w:t>
      </w:r>
      <w:proofErr w:type="spellEnd"/>
      <w:r w:rsidRPr="00984890">
        <w:rPr>
          <w:color w:val="000000"/>
        </w:rPr>
        <w:t xml:space="preserve"> </w:t>
      </w:r>
      <w:proofErr w:type="spellStart"/>
      <w:r w:rsidRPr="00984890">
        <w:rPr>
          <w:color w:val="000000"/>
        </w:rPr>
        <w:t>Effect</w:t>
      </w:r>
      <w:proofErr w:type="spellEnd"/>
      <w:r w:rsidRPr="00984890">
        <w:rPr>
          <w:color w:val="000000"/>
        </w:rPr>
        <w:t xml:space="preserve"> να είναι 0,140mg/ml. </w:t>
      </w:r>
    </w:p>
    <w:p w:rsidR="00D45782" w:rsidRPr="00984890" w:rsidRDefault="00D45782" w:rsidP="00D45782">
      <w:pPr>
        <w:jc w:val="both"/>
        <w:rPr>
          <w:color w:val="000000"/>
        </w:rPr>
      </w:pPr>
      <w:r w:rsidRPr="00984890">
        <w:rPr>
          <w:color w:val="000000"/>
        </w:rPr>
        <w:t>Να έχε</w:t>
      </w:r>
      <w:r>
        <w:rPr>
          <w:color w:val="000000"/>
        </w:rPr>
        <w:t xml:space="preserve">ι αξιολογηθεί έναντι της </w:t>
      </w:r>
      <w:r w:rsidRPr="00984890">
        <w:rPr>
          <w:color w:val="000000"/>
        </w:rPr>
        <w:t>μεθόδου αναφοράς καλλιέργεια και χρώση με σινική μελάνη και να έχει τις ακόλουθες επιδόσεις:</w:t>
      </w:r>
    </w:p>
    <w:p w:rsidR="00D45782" w:rsidRPr="00BC0977" w:rsidRDefault="00D45782" w:rsidP="00D45782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BC0977">
        <w:rPr>
          <w:color w:val="000000"/>
        </w:rPr>
        <w:t>ευαισθησία και ειδικότητα 100% σε ορό και ΕΝΥ</w:t>
      </w:r>
    </w:p>
    <w:p w:rsidR="00D45782" w:rsidRPr="00BC0977" w:rsidRDefault="00D45782" w:rsidP="00D45782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BC0977">
        <w:rPr>
          <w:color w:val="000000"/>
        </w:rPr>
        <w:t xml:space="preserve">ευαισθησία και ειδικότητα 98,9% και 100% σε πλάσμα και </w:t>
      </w:r>
    </w:p>
    <w:p w:rsidR="00D45782" w:rsidRPr="00BC0977" w:rsidRDefault="00D45782" w:rsidP="00D45782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BC0977">
        <w:rPr>
          <w:color w:val="000000"/>
        </w:rPr>
        <w:t xml:space="preserve">ευαισθησία και ειδικότητα 99,3% και 94,6% σε ολικό αίμα </w:t>
      </w:r>
    </w:p>
    <w:p w:rsidR="00D45782" w:rsidRDefault="00D45782" w:rsidP="00D45782">
      <w:pPr>
        <w:jc w:val="both"/>
        <w:rPr>
          <w:color w:val="000000"/>
        </w:rPr>
      </w:pPr>
      <w:r w:rsidRPr="00984890">
        <w:rPr>
          <w:color w:val="000000"/>
        </w:rPr>
        <w:t xml:space="preserve">Ο χρόνος ανάγνωσης αποτελεσμάτων να είναι 10λεπτά. </w:t>
      </w:r>
    </w:p>
    <w:p w:rsidR="00D45782" w:rsidRPr="00984890" w:rsidRDefault="00D45782" w:rsidP="00D45782">
      <w:pPr>
        <w:jc w:val="both"/>
        <w:rPr>
          <w:color w:val="000000"/>
        </w:rPr>
      </w:pPr>
      <w:proofErr w:type="spellStart"/>
      <w:r w:rsidRPr="00984890">
        <w:rPr>
          <w:color w:val="000000"/>
        </w:rPr>
        <w:t>Nα</w:t>
      </w:r>
      <w:proofErr w:type="spellEnd"/>
      <w:r w:rsidRPr="00984890">
        <w:rPr>
          <w:color w:val="000000"/>
        </w:rPr>
        <w:t xml:space="preserve"> μην απαιτείται ειδικός αναλυτής για την ανάγνωση. </w:t>
      </w:r>
    </w:p>
    <w:p w:rsidR="00D45782" w:rsidRPr="00984890" w:rsidRDefault="00D45782" w:rsidP="00D45782">
      <w:pPr>
        <w:jc w:val="both"/>
        <w:rPr>
          <w:color w:val="000000"/>
        </w:rPr>
      </w:pPr>
      <w:r w:rsidRPr="00984890">
        <w:rPr>
          <w:color w:val="000000"/>
        </w:rPr>
        <w:t xml:space="preserve">Να έχει μεγάλο αριθμό δημοσιεύσεων και να έχει διακριθεί στις κατευθυντήριες οδηγίες διάγνωσης και διαχείρισης </w:t>
      </w:r>
      <w:proofErr w:type="spellStart"/>
      <w:r w:rsidRPr="00984890">
        <w:rPr>
          <w:color w:val="000000"/>
        </w:rPr>
        <w:t>κρυπτοκοκκίασης</w:t>
      </w:r>
      <w:proofErr w:type="spellEnd"/>
      <w:r>
        <w:rPr>
          <w:color w:val="000000"/>
        </w:rPr>
        <w:t xml:space="preserve"> </w:t>
      </w:r>
      <w:r w:rsidRPr="00984890">
        <w:rPr>
          <w:color w:val="000000"/>
        </w:rPr>
        <w:t xml:space="preserve">του 2024 (ECCM, ISHAM, ASM)ως το </w:t>
      </w:r>
      <w:proofErr w:type="spellStart"/>
      <w:r w:rsidRPr="00984890">
        <w:rPr>
          <w:color w:val="000000"/>
        </w:rPr>
        <w:t>kit</w:t>
      </w:r>
      <w:proofErr w:type="spellEnd"/>
      <w:r w:rsidRPr="00984890">
        <w:rPr>
          <w:color w:val="000000"/>
        </w:rPr>
        <w:t xml:space="preserve"> με την καλύτερη επίδοση στην ανίχνευση όλων των παθογόνων ειδών </w:t>
      </w:r>
      <w:proofErr w:type="spellStart"/>
      <w:r w:rsidRPr="00984890">
        <w:rPr>
          <w:color w:val="000000"/>
        </w:rPr>
        <w:t>κρυπτοκόκκου</w:t>
      </w:r>
      <w:proofErr w:type="spellEnd"/>
      <w:r w:rsidRPr="00984890">
        <w:rPr>
          <w:color w:val="000000"/>
        </w:rPr>
        <w:t>. Να διαθέτει CE/IVDR.</w:t>
      </w:r>
    </w:p>
    <w:p w:rsidR="00E61C04" w:rsidRDefault="00E61C04"/>
    <w:sectPr w:rsidR="00E61C04" w:rsidSect="00E61C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A31"/>
    <w:multiLevelType w:val="hybridMultilevel"/>
    <w:tmpl w:val="35067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20FB"/>
    <w:multiLevelType w:val="hybridMultilevel"/>
    <w:tmpl w:val="5F386952"/>
    <w:lvl w:ilvl="0" w:tplc="72383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782"/>
    <w:rsid w:val="00D45782"/>
    <w:rsid w:val="00E6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usergna</dc:creator>
  <cp:lastModifiedBy>usergna</cp:lastModifiedBy>
  <cp:revision>1</cp:revision>
  <dcterms:created xsi:type="dcterms:W3CDTF">2026-04-28T11:11:00Z</dcterms:created>
  <dcterms:modified xsi:type="dcterms:W3CDTF">2026-04-28T11:12:00Z</dcterms:modified>
</cp:coreProperties>
</file>